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5BF54275" w:rsidR="003E4F37" w:rsidRPr="00CF5340" w:rsidRDefault="00CB56F6" w:rsidP="00CB56F6">
      <w:pPr>
        <w:jc w:val="center"/>
        <w:rPr>
          <w:b/>
          <w:bCs/>
          <w:sz w:val="24"/>
          <w:szCs w:val="24"/>
        </w:rPr>
      </w:pPr>
      <w:r w:rsidRPr="00CF5340">
        <w:rPr>
          <w:b/>
          <w:bCs/>
          <w:sz w:val="24"/>
          <w:szCs w:val="24"/>
        </w:rPr>
        <w:t>School Name:</w:t>
      </w:r>
      <w:r w:rsidR="00A7611E">
        <w:rPr>
          <w:b/>
          <w:bCs/>
          <w:sz w:val="24"/>
          <w:szCs w:val="24"/>
        </w:rPr>
        <w:t xml:space="preserve"> Pinellas Central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10D69708"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8E68F6" w:rsidRPr="006F4F74">
              <w:rPr>
                <w:rFonts w:eastAsia="Times New Roman" w:cstheme="minorHAnsi"/>
                <w:sz w:val="24"/>
                <w:szCs w:val="24"/>
              </w:rPr>
              <w:t>The mission of Pinellas Central Elementary school is to create a safe and positive learning environment where all individuals feel valued and challenged to reach their highest potential.</w:t>
            </w:r>
          </w:p>
          <w:p w14:paraId="48A5DD76" w14:textId="1E2DCC9D" w:rsidR="00294372" w:rsidRDefault="00294372" w:rsidP="00294372">
            <w:pPr>
              <w:rPr>
                <w:sz w:val="24"/>
                <w:szCs w:val="24"/>
              </w:rPr>
            </w:pPr>
          </w:p>
          <w:p w14:paraId="5E0F6738" w14:textId="67F0AA19" w:rsidR="00294372"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12589A">
              <w:rPr>
                <w:sz w:val="24"/>
                <w:szCs w:val="24"/>
              </w:rPr>
              <w:t xml:space="preserve">K-2 STAR/FAST; 3-5 FAST ELA, Math, and Science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57911E4B" w14:textId="2D92B154" w:rsidR="0078306F" w:rsidRDefault="008E68F6" w:rsidP="00F11D8F">
            <w:pPr>
              <w:rPr>
                <w:rFonts w:ascii="Segoe UI" w:hAnsi="Segoe UI" w:cs="Segoe UI"/>
                <w:sz w:val="24"/>
                <w:szCs w:val="24"/>
              </w:rPr>
            </w:pPr>
            <w:r>
              <w:rPr>
                <w:rFonts w:ascii="Segoe UI" w:hAnsi="Segoe UI" w:cs="Segoe UI"/>
                <w:sz w:val="24"/>
                <w:szCs w:val="24"/>
              </w:rPr>
              <w:t>Families will provide input and feedback through surveys.</w:t>
            </w:r>
            <w:r w:rsidR="0012589A">
              <w:rPr>
                <w:rFonts w:ascii="Segoe UI" w:hAnsi="Segoe UI" w:cs="Segoe UI"/>
                <w:sz w:val="24"/>
                <w:szCs w:val="24"/>
              </w:rPr>
              <w:t xml:space="preserve"> </w:t>
            </w:r>
            <w:r w:rsidR="0012589A">
              <w:t xml:space="preserve">Families will share needs they are in support </w:t>
            </w:r>
            <w:proofErr w:type="gramStart"/>
            <w:r w:rsidR="0012589A">
              <w:t>of</w:t>
            </w:r>
            <w:proofErr w:type="gramEnd"/>
            <w:r w:rsidR="0012589A">
              <w:t xml:space="preserve"> and family engagement events will be created to target their needs.</w:t>
            </w:r>
          </w:p>
          <w:p w14:paraId="4C84C456" w14:textId="77777777" w:rsidR="0078306F" w:rsidRDefault="0078306F" w:rsidP="00F11D8F">
            <w:pPr>
              <w:rPr>
                <w:rFonts w:ascii="Segoe UI" w:hAnsi="Segoe UI" w:cs="Segoe UI"/>
                <w:sz w:val="24"/>
                <w:szCs w:val="24"/>
              </w:rPr>
            </w:pPr>
          </w:p>
          <w:p w14:paraId="51839AB9" w14:textId="77777777" w:rsidR="00E503B9" w:rsidRDefault="00E503B9" w:rsidP="00F11D8F">
            <w:pPr>
              <w:rPr>
                <w:rFonts w:ascii="Segoe UI" w:hAnsi="Segoe UI" w:cs="Segoe UI"/>
                <w:sz w:val="24"/>
                <w:szCs w:val="24"/>
              </w:rPr>
            </w:pPr>
          </w:p>
          <w:p w14:paraId="33BFAE7D" w14:textId="77777777" w:rsidR="00C37FF7" w:rsidRDefault="00C37FF7" w:rsidP="00F11D8F">
            <w:pPr>
              <w:rPr>
                <w:rFonts w:ascii="Segoe UI" w:hAnsi="Segoe UI" w:cs="Segoe UI"/>
                <w:sz w:val="24"/>
                <w:szCs w:val="24"/>
              </w:rPr>
            </w:pPr>
          </w:p>
          <w:p w14:paraId="0695A312" w14:textId="4D7DC616" w:rsidR="00E50046" w:rsidRPr="00C37FF7"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lastRenderedPageBreak/>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2EF218AE" w14:textId="77777777" w:rsidR="00980893" w:rsidRDefault="00980893" w:rsidP="00855902">
            <w:pPr>
              <w:rPr>
                <w:rStyle w:val="cf01"/>
              </w:rPr>
            </w:pPr>
          </w:p>
          <w:p w14:paraId="48169758" w14:textId="4979A303" w:rsidR="007F583D" w:rsidRPr="008E68F6" w:rsidRDefault="008E68F6" w:rsidP="00855902">
            <w:pPr>
              <w:rPr>
                <w:rFonts w:ascii="Segoe UI" w:hAnsi="Segoe UI" w:cs="Segoe UI"/>
                <w:sz w:val="18"/>
                <w:szCs w:val="18"/>
              </w:rPr>
            </w:pPr>
            <w:r>
              <w:rPr>
                <w:rStyle w:val="cf01"/>
                <w:sz w:val="24"/>
                <w:szCs w:val="24"/>
              </w:rPr>
              <w:t xml:space="preserve">Our staff will be involved in training during Pre-School week to discuss expectations of how to reach out to, communicate with, and work with family members as equal partners. This work will be reviewed throughout the year. We will also hold a Mustang Meetup for any new faculty to go over the PCE way, inclusive of Family Engagement. </w:t>
            </w:r>
            <w:r w:rsidR="0012589A">
              <w:rPr>
                <w:rStyle w:val="cf01"/>
                <w:sz w:val="24"/>
                <w:szCs w:val="24"/>
              </w:rPr>
              <w:t>Quarterly family events will be scheduled, based on staff and family input, throughout the year to provide meaningful and relatable engagement/learning between school and home.</w:t>
            </w: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4EB9281C" w14:textId="6145F940" w:rsidR="00DC56C4"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r w:rsidR="008E68F6">
              <w:rPr>
                <w:rFonts w:ascii="Segoe UI" w:hAnsi="Segoe UI" w:cs="Segoe UI"/>
                <w:sz w:val="24"/>
                <w:szCs w:val="24"/>
              </w:rPr>
              <w:t xml:space="preserve"> </w:t>
            </w:r>
            <w:r w:rsidR="008E68F6">
              <w:t>QR code at the conclusion of the meeting. Feedback will be reviewed by SBLT and will guide our next steps for future events.</w:t>
            </w:r>
          </w:p>
          <w:p w14:paraId="79707287" w14:textId="69E69F19" w:rsidR="00782418" w:rsidRPr="004902EC" w:rsidRDefault="00782418"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2F49ABBE"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r w:rsidR="008E68F6">
              <w:rPr>
                <w:rFonts w:ascii="Segoe UI" w:hAnsi="Segoe UI" w:cs="Segoe UI"/>
                <w:sz w:val="24"/>
                <w:szCs w:val="24"/>
              </w:rPr>
              <w:t xml:space="preserve"> We will continue to follow school and district processes through the Child Study Team and MTSS to address attendance and academics. We will continue to offer supports and resources to families. Quarterly meetings for families struggling with attendance.</w:t>
            </w:r>
          </w:p>
          <w:p w14:paraId="12FB70D9" w14:textId="5324F51F" w:rsidR="00782418" w:rsidRPr="004902EC" w:rsidRDefault="00782418" w:rsidP="00782418">
            <w:pPr>
              <w:rPr>
                <w:rFonts w:ascii="Segoe UI" w:hAnsi="Segoe UI" w:cs="Segoe UI"/>
                <w:sz w:val="24"/>
                <w:szCs w:val="24"/>
              </w:rPr>
            </w:pPr>
          </w:p>
          <w:p w14:paraId="2C7A0FD1" w14:textId="08ED77BA"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r w:rsidR="008E68F6">
              <w:rPr>
                <w:rFonts w:ascii="Segoe UI" w:hAnsi="Segoe UI" w:cs="Segoe UI"/>
                <w:sz w:val="24"/>
                <w:szCs w:val="24"/>
              </w:rPr>
              <w:t xml:space="preserve"> Email, DOJO, School Messenger calls/texts/emails</w:t>
            </w:r>
          </w:p>
          <w:p w14:paraId="6EF17D3D" w14:textId="77777777" w:rsidR="00782418" w:rsidRDefault="00782418" w:rsidP="00782418">
            <w:pPr>
              <w:rPr>
                <w:i/>
                <w:iCs/>
                <w:sz w:val="26"/>
                <w:szCs w:val="26"/>
              </w:rPr>
            </w:pP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07B2B77B" w14:textId="77777777" w:rsidR="008E68F6" w:rsidRPr="008E68F6" w:rsidRDefault="008E68F6" w:rsidP="008E68F6">
            <w:pPr>
              <w:rPr>
                <w:sz w:val="28"/>
                <w:szCs w:val="28"/>
              </w:rPr>
            </w:pPr>
            <w:r w:rsidRPr="008E68F6">
              <w:rPr>
                <w:sz w:val="28"/>
                <w:szCs w:val="28"/>
              </w:rPr>
              <w:t>PCE sends communication through: Class Dojo, Facebook pages, School Messenger (calls, emails, and texts), school website, Marquee, and front office display screen.</w:t>
            </w:r>
          </w:p>
          <w:p w14:paraId="6E35A39A" w14:textId="77777777" w:rsidR="008E68F6" w:rsidRPr="008E68F6" w:rsidRDefault="008E68F6" w:rsidP="008E68F6">
            <w:pPr>
              <w:rPr>
                <w:sz w:val="28"/>
                <w:szCs w:val="28"/>
              </w:rPr>
            </w:pPr>
          </w:p>
          <w:p w14:paraId="3B97089A" w14:textId="4FC438EB" w:rsidR="00962E22" w:rsidRPr="008E68F6" w:rsidRDefault="008E68F6" w:rsidP="008E68F6">
            <w:pPr>
              <w:rPr>
                <w:sz w:val="28"/>
                <w:szCs w:val="28"/>
              </w:rPr>
            </w:pPr>
            <w:r w:rsidRPr="008E68F6">
              <w:rPr>
                <w:sz w:val="28"/>
                <w:szCs w:val="28"/>
              </w:rPr>
              <w:t xml:space="preserve">PCE maintains a 2-way communication system; therefore, family members are welcome to communicate regarding </w:t>
            </w:r>
            <w:proofErr w:type="gramStart"/>
            <w:r w:rsidR="00D87282">
              <w:rPr>
                <w:sz w:val="28"/>
                <w:szCs w:val="28"/>
              </w:rPr>
              <w:t>any and all</w:t>
            </w:r>
            <w:proofErr w:type="gramEnd"/>
            <w:r w:rsidR="00D87282">
              <w:rPr>
                <w:sz w:val="28"/>
                <w:szCs w:val="28"/>
              </w:rPr>
              <w:t xml:space="preserve"> </w:t>
            </w:r>
            <w:r w:rsidRPr="008E68F6">
              <w:rPr>
                <w:sz w:val="28"/>
                <w:szCs w:val="28"/>
              </w:rPr>
              <w:t>feedback, questions, and/or concer</w:t>
            </w:r>
            <w:r w:rsidR="00D87282">
              <w:rPr>
                <w:sz w:val="28"/>
                <w:szCs w:val="28"/>
              </w:rPr>
              <w:t xml:space="preserve">ns they have regarding the school, at any time. </w:t>
            </w: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C4BB390"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7D3C8B48" w14:textId="77777777" w:rsidR="008E68F6" w:rsidRDefault="008E68F6">
            <w:pPr>
              <w:rPr>
                <w:b/>
                <w:bCs/>
                <w:sz w:val="24"/>
                <w:szCs w:val="24"/>
              </w:rPr>
            </w:pPr>
          </w:p>
          <w:p w14:paraId="59C302EB" w14:textId="42C1C67B" w:rsidR="008E68F6" w:rsidRPr="008E68F6" w:rsidRDefault="008E68F6">
            <w:pPr>
              <w:rPr>
                <w:sz w:val="24"/>
                <w:szCs w:val="24"/>
              </w:rPr>
            </w:pPr>
            <w:r w:rsidRPr="008E68F6">
              <w:rPr>
                <w:sz w:val="24"/>
                <w:szCs w:val="24"/>
              </w:rPr>
              <w:t>Meetings will be offered at different times that support the different needs of families.</w:t>
            </w: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77777777" w:rsidR="0058313F" w:rsidRDefault="0058313F">
            <w:pPr>
              <w:rPr>
                <w:sz w:val="24"/>
                <w:szCs w:val="24"/>
              </w:rPr>
            </w:pPr>
          </w:p>
          <w:p w14:paraId="40A6195C" w14:textId="4037F6B0" w:rsidR="0058313F" w:rsidRPr="008E68F6" w:rsidRDefault="008E68F6" w:rsidP="008E68F6">
            <w:pPr>
              <w:rPr>
                <w:sz w:val="24"/>
                <w:szCs w:val="24"/>
              </w:rPr>
            </w:pPr>
            <w:r w:rsidRPr="008E68F6">
              <w:rPr>
                <w:sz w:val="28"/>
                <w:szCs w:val="28"/>
              </w:rPr>
              <w:t>PCE sends communication through: Class Dojo, Facebook pages, School Messenger (calls, emails, and texts), school website, Marquee, and front office display screen.</w:t>
            </w: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2589A"/>
    <w:rsid w:val="00137F17"/>
    <w:rsid w:val="001533F2"/>
    <w:rsid w:val="00183444"/>
    <w:rsid w:val="001849AE"/>
    <w:rsid w:val="001A422D"/>
    <w:rsid w:val="001C3EEA"/>
    <w:rsid w:val="001F77A1"/>
    <w:rsid w:val="002213DF"/>
    <w:rsid w:val="00265AAE"/>
    <w:rsid w:val="002861E0"/>
    <w:rsid w:val="00294372"/>
    <w:rsid w:val="00297DBC"/>
    <w:rsid w:val="002E086E"/>
    <w:rsid w:val="002E39ED"/>
    <w:rsid w:val="002F18C9"/>
    <w:rsid w:val="00313688"/>
    <w:rsid w:val="00324FF2"/>
    <w:rsid w:val="0038756F"/>
    <w:rsid w:val="003960F3"/>
    <w:rsid w:val="003E4F37"/>
    <w:rsid w:val="003F7997"/>
    <w:rsid w:val="00423654"/>
    <w:rsid w:val="00443F7E"/>
    <w:rsid w:val="004902EC"/>
    <w:rsid w:val="004D2C60"/>
    <w:rsid w:val="004E2B96"/>
    <w:rsid w:val="004E6336"/>
    <w:rsid w:val="004F6383"/>
    <w:rsid w:val="00511DDF"/>
    <w:rsid w:val="00532FFC"/>
    <w:rsid w:val="0058313F"/>
    <w:rsid w:val="00585B64"/>
    <w:rsid w:val="005C3BAA"/>
    <w:rsid w:val="00660808"/>
    <w:rsid w:val="006A3BA8"/>
    <w:rsid w:val="006D3DC2"/>
    <w:rsid w:val="006E00D7"/>
    <w:rsid w:val="006E37AC"/>
    <w:rsid w:val="006E3C73"/>
    <w:rsid w:val="00703A48"/>
    <w:rsid w:val="00713ED5"/>
    <w:rsid w:val="00766E44"/>
    <w:rsid w:val="00775BDC"/>
    <w:rsid w:val="00780D6A"/>
    <w:rsid w:val="00782418"/>
    <w:rsid w:val="0078306F"/>
    <w:rsid w:val="00786B20"/>
    <w:rsid w:val="00793F59"/>
    <w:rsid w:val="007B02D5"/>
    <w:rsid w:val="007D4C22"/>
    <w:rsid w:val="007E5261"/>
    <w:rsid w:val="007F583D"/>
    <w:rsid w:val="007F597C"/>
    <w:rsid w:val="00807D21"/>
    <w:rsid w:val="00814267"/>
    <w:rsid w:val="008306EE"/>
    <w:rsid w:val="0084667C"/>
    <w:rsid w:val="00855902"/>
    <w:rsid w:val="008E68F6"/>
    <w:rsid w:val="00905EA3"/>
    <w:rsid w:val="00931AB9"/>
    <w:rsid w:val="00945BE1"/>
    <w:rsid w:val="00962E22"/>
    <w:rsid w:val="009674D5"/>
    <w:rsid w:val="00973C33"/>
    <w:rsid w:val="00980893"/>
    <w:rsid w:val="009E48E2"/>
    <w:rsid w:val="009F1090"/>
    <w:rsid w:val="00A17F1E"/>
    <w:rsid w:val="00A30EA8"/>
    <w:rsid w:val="00A46E7A"/>
    <w:rsid w:val="00A514F8"/>
    <w:rsid w:val="00A7611E"/>
    <w:rsid w:val="00AC27A3"/>
    <w:rsid w:val="00AD07A2"/>
    <w:rsid w:val="00AD26E1"/>
    <w:rsid w:val="00AD300F"/>
    <w:rsid w:val="00AD4000"/>
    <w:rsid w:val="00B30ED4"/>
    <w:rsid w:val="00B73F9A"/>
    <w:rsid w:val="00BA2D70"/>
    <w:rsid w:val="00BC7043"/>
    <w:rsid w:val="00C05ABB"/>
    <w:rsid w:val="00C145D8"/>
    <w:rsid w:val="00C37FF7"/>
    <w:rsid w:val="00C962AF"/>
    <w:rsid w:val="00CA6212"/>
    <w:rsid w:val="00CB56F6"/>
    <w:rsid w:val="00CC02D1"/>
    <w:rsid w:val="00CD0874"/>
    <w:rsid w:val="00CD1671"/>
    <w:rsid w:val="00CF52B8"/>
    <w:rsid w:val="00CF5340"/>
    <w:rsid w:val="00D671A5"/>
    <w:rsid w:val="00D853DF"/>
    <w:rsid w:val="00D85B2E"/>
    <w:rsid w:val="00D87282"/>
    <w:rsid w:val="00DA0202"/>
    <w:rsid w:val="00DC56C4"/>
    <w:rsid w:val="00E07FA3"/>
    <w:rsid w:val="00E113F0"/>
    <w:rsid w:val="00E2209D"/>
    <w:rsid w:val="00E235F6"/>
    <w:rsid w:val="00E24115"/>
    <w:rsid w:val="00E50046"/>
    <w:rsid w:val="00E503B9"/>
    <w:rsid w:val="00E956E8"/>
    <w:rsid w:val="00EE3176"/>
    <w:rsid w:val="00EF3C24"/>
    <w:rsid w:val="00EF6BF7"/>
    <w:rsid w:val="00F06391"/>
    <w:rsid w:val="00F11D8F"/>
    <w:rsid w:val="00F21FF2"/>
    <w:rsid w:val="00F422F6"/>
    <w:rsid w:val="00F7454F"/>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Robertson Lisa</cp:lastModifiedBy>
  <cp:revision>3</cp:revision>
  <cp:lastPrinted>2023-02-27T13:28:00Z</cp:lastPrinted>
  <dcterms:created xsi:type="dcterms:W3CDTF">2024-10-23T17:39:00Z</dcterms:created>
  <dcterms:modified xsi:type="dcterms:W3CDTF">2024-10-29T11:55:00Z</dcterms:modified>
</cp:coreProperties>
</file>